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C8A32" w14:textId="77777777" w:rsidR="00F33542" w:rsidRDefault="00F33542" w:rsidP="00F33542"/>
    <w:p w14:paraId="096892EA" w14:textId="0C7A6556" w:rsidR="00F33542" w:rsidRPr="00F33542" w:rsidRDefault="00F33542" w:rsidP="00F33542">
      <w:pPr>
        <w:jc w:val="center"/>
        <w:rPr>
          <w:b/>
          <w:bCs/>
          <w:u w:val="single"/>
        </w:rPr>
      </w:pPr>
      <w:r w:rsidRPr="00F33542">
        <w:rPr>
          <w:b/>
          <w:bCs/>
          <w:u w:val="single"/>
        </w:rPr>
        <w:t>Cattle f</w:t>
      </w:r>
      <w:r w:rsidRPr="00F33542">
        <w:rPr>
          <w:b/>
          <w:bCs/>
          <w:u w:val="single"/>
        </w:rPr>
        <w:t>ield drench test protocol</w:t>
      </w:r>
      <w:r w:rsidR="00846FF5">
        <w:rPr>
          <w:b/>
          <w:bCs/>
          <w:u w:val="single"/>
        </w:rPr>
        <w:t xml:space="preserve"> (Faecal Egg Count Reduction Test)</w:t>
      </w:r>
    </w:p>
    <w:p w14:paraId="6EA1503E" w14:textId="77777777" w:rsidR="00F33542" w:rsidRDefault="00F33542" w:rsidP="00F33542"/>
    <w:p w14:paraId="799E1CF3" w14:textId="3FCE7668" w:rsidR="00F33542" w:rsidRDefault="00F33542" w:rsidP="00F33542">
      <w:r>
        <w:t>C</w:t>
      </w:r>
      <w:r>
        <w:t>attle drench efficacy testing is best done at the highest sensitivity practically available.</w:t>
      </w:r>
    </w:p>
    <w:p w14:paraId="6D7F1FC7" w14:textId="172FC0EA" w:rsidR="00F33542" w:rsidRDefault="00F33542" w:rsidP="00F33542">
      <w:r>
        <w:t>Dawbuts</w:t>
      </w:r>
      <w:r>
        <w:t xml:space="preserve"> </w:t>
      </w:r>
      <w:r>
        <w:t xml:space="preserve">lab </w:t>
      </w:r>
      <w:r>
        <w:t>use</w:t>
      </w:r>
      <w:r>
        <w:t>s</w:t>
      </w:r>
      <w:r>
        <w:t xml:space="preserve"> Mini-FLOTAC at 5e</w:t>
      </w:r>
      <w:r>
        <w:t xml:space="preserve">ggs </w:t>
      </w:r>
      <w:r>
        <w:t>p</w:t>
      </w:r>
      <w:r>
        <w:t xml:space="preserve">er </w:t>
      </w:r>
      <w:r>
        <w:t>g</w:t>
      </w:r>
      <w:r>
        <w:t>ram</w:t>
      </w:r>
      <w:r>
        <w:t xml:space="preserve"> for this purpose.  </w:t>
      </w:r>
      <w:r>
        <w:t xml:space="preserve">For each treatment group use 15 head of cattle. </w:t>
      </w:r>
    </w:p>
    <w:p w14:paraId="1E5B8A7D" w14:textId="77777777" w:rsidR="00F33542" w:rsidRPr="00CE1B45" w:rsidRDefault="00F33542" w:rsidP="00F33542">
      <w:pPr>
        <w:spacing w:before="100" w:beforeAutospacing="1" w:after="100" w:afterAutospacing="1"/>
        <w:rPr>
          <w:b/>
          <w:bCs/>
          <w:u w:val="single"/>
        </w:rPr>
      </w:pPr>
      <w:r w:rsidRPr="00CE1B45">
        <w:rPr>
          <w:b/>
          <w:bCs/>
          <w:u w:val="single"/>
        </w:rPr>
        <w:t>Pre-test (1 week before trial)</w:t>
      </w:r>
    </w:p>
    <w:p w14:paraId="3B7750C3" w14:textId="77777777" w:rsidR="00406470" w:rsidRDefault="00406470" w:rsidP="00F33542">
      <w:pPr>
        <w:spacing w:before="100" w:beforeAutospacing="1" w:after="100" w:afterAutospacing="1"/>
      </w:pPr>
      <w:r>
        <w:t>Take f</w:t>
      </w:r>
      <w:r w:rsidR="00F33542">
        <w:t>resh dung s</w:t>
      </w:r>
      <w:r w:rsidR="00F33542">
        <w:t xml:space="preserve">amples from 15 head of cattle. </w:t>
      </w:r>
    </w:p>
    <w:p w14:paraId="2BD6E18B" w14:textId="77777777" w:rsidR="00406470" w:rsidRDefault="00F33542" w:rsidP="00F33542">
      <w:pPr>
        <w:spacing w:before="100" w:beforeAutospacing="1" w:after="100" w:afterAutospacing="1"/>
      </w:pPr>
      <w:r>
        <w:t>Send to lab to be t</w:t>
      </w:r>
      <w:r>
        <w:t xml:space="preserve">ested using pooled </w:t>
      </w:r>
      <w:r>
        <w:t>count</w:t>
      </w:r>
      <w:r>
        <w:t xml:space="preserve"> to confirm </w:t>
      </w:r>
      <w:r w:rsidR="00406470">
        <w:t>worm egg count (</w:t>
      </w:r>
      <w:r>
        <w:t>WEC</w:t>
      </w:r>
      <w:r w:rsidR="00406470">
        <w:t>)</w:t>
      </w:r>
      <w:r>
        <w:t xml:space="preserve"> </w:t>
      </w:r>
      <w:r w:rsidR="00406470">
        <w:t xml:space="preserve">is </w:t>
      </w:r>
      <w:r>
        <w:t xml:space="preserve">sufficient for drench test (&gt;100epg). </w:t>
      </w:r>
    </w:p>
    <w:p w14:paraId="38DC9888" w14:textId="6B620E99" w:rsidR="00F33542" w:rsidRDefault="00F33542" w:rsidP="00F33542">
      <w:pPr>
        <w:spacing w:before="100" w:beforeAutospacing="1" w:after="100" w:afterAutospacing="1"/>
      </w:pPr>
      <w:r>
        <w:t>Obtain the necessary drenches (preferably oral drench or injectable).</w:t>
      </w:r>
    </w:p>
    <w:p w14:paraId="43C6D1EC" w14:textId="7AAB4956" w:rsidR="00F33542" w:rsidRPr="00CE1B45" w:rsidRDefault="00F33542" w:rsidP="00F33542">
      <w:pPr>
        <w:spacing w:before="100" w:beforeAutospacing="1" w:after="100" w:afterAutospacing="1"/>
        <w:rPr>
          <w:b/>
          <w:bCs/>
          <w:u w:val="single"/>
        </w:rPr>
      </w:pPr>
      <w:r w:rsidRPr="00CE1B45">
        <w:rPr>
          <w:b/>
          <w:bCs/>
          <w:u w:val="single"/>
        </w:rPr>
        <w:t>Day 0</w:t>
      </w:r>
      <w:r w:rsidR="00CE1B45">
        <w:rPr>
          <w:b/>
          <w:bCs/>
          <w:u w:val="single"/>
        </w:rPr>
        <w:t xml:space="preserve"> (treatment day)</w:t>
      </w:r>
    </w:p>
    <w:p w14:paraId="3D7024CC" w14:textId="0F184966" w:rsidR="00F33542" w:rsidRDefault="00F33542" w:rsidP="00F33542">
      <w:pPr>
        <w:spacing w:before="100" w:beforeAutospacing="1" w:after="100" w:afterAutospacing="1"/>
      </w:pPr>
      <w:r>
        <w:t xml:space="preserve">Draft off </w:t>
      </w:r>
      <w:r>
        <w:t>15 head of</w:t>
      </w:r>
      <w:r>
        <w:t xml:space="preserve"> cattle</w:t>
      </w:r>
      <w:r>
        <w:t xml:space="preserve"> per group</w:t>
      </w:r>
      <w:r>
        <w:t xml:space="preserve"> from the middle of the mob (avoid heaviest and scrawniest) and take ear tag</w:t>
      </w:r>
      <w:r w:rsidR="00406470">
        <w:t xml:space="preserve"> number</w:t>
      </w:r>
      <w:r>
        <w:t>s, randomly assign onto treatment groups. Best done by weighing and assigning</w:t>
      </w:r>
      <w:r w:rsidR="00406470">
        <w:t>. I</w:t>
      </w:r>
      <w:r>
        <w:t>f scales not available</w:t>
      </w:r>
      <w:r w:rsidR="00406470">
        <w:t>,</w:t>
      </w:r>
      <w:r>
        <w:t xml:space="preserve"> use visual assessment or odd and even ear tag numbers.</w:t>
      </w:r>
      <w:r w:rsidR="00406470">
        <w:t xml:space="preserve"> Record ear tag numbers and treatment groups. </w:t>
      </w:r>
    </w:p>
    <w:p w14:paraId="1F5BD5D2" w14:textId="69597411" w:rsidR="00F33542" w:rsidRDefault="00F33542" w:rsidP="00F33542">
      <w:pPr>
        <w:spacing w:before="100" w:beforeAutospacing="1" w:after="100" w:afterAutospacing="1"/>
      </w:pPr>
      <w:r>
        <w:t xml:space="preserve">The day 0 test (1 tray containing 30 samples i.e. 2 samples per well), </w:t>
      </w:r>
      <w:r w:rsidR="00406470">
        <w:t xml:space="preserve">is </w:t>
      </w:r>
      <w:r>
        <w:t>collected randomly from mob</w:t>
      </w:r>
      <w:r>
        <w:t xml:space="preserve"> prior to</w:t>
      </w:r>
      <w:r>
        <w:t xml:space="preserve"> drenching) </w:t>
      </w:r>
      <w:r w:rsidR="00406470">
        <w:t xml:space="preserve">and </w:t>
      </w:r>
      <w:r>
        <w:t xml:space="preserve">acts as the control group. </w:t>
      </w:r>
    </w:p>
    <w:p w14:paraId="21268DD1" w14:textId="2B78610A" w:rsidR="00F33542" w:rsidRDefault="00406470" w:rsidP="00F33542">
      <w:pPr>
        <w:spacing w:before="100" w:beforeAutospacing="1" w:after="100" w:afterAutospacing="1"/>
      </w:pPr>
      <w:r>
        <w:t xml:space="preserve">Calculate dose rate for each animal. </w:t>
      </w:r>
      <w:r w:rsidR="00F33542">
        <w:t>Then treat 15 head each with:</w:t>
      </w:r>
    </w:p>
    <w:p w14:paraId="5F1B4B10" w14:textId="01E88160" w:rsidR="00F33542" w:rsidRDefault="00F33542" w:rsidP="00F3354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Treatment A</w:t>
      </w:r>
    </w:p>
    <w:p w14:paraId="351B913C" w14:textId="204A59F9" w:rsidR="00F33542" w:rsidRDefault="00F33542" w:rsidP="00F3354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Treatment B</w:t>
      </w:r>
    </w:p>
    <w:p w14:paraId="5F6A68E4" w14:textId="4B7D978A" w:rsidR="00406470" w:rsidRDefault="00406470" w:rsidP="00F3354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Treatment C</w:t>
      </w:r>
    </w:p>
    <w:p w14:paraId="7D9F7E43" w14:textId="7BD30C4C" w:rsidR="00F33542" w:rsidRDefault="00406470" w:rsidP="00F33542">
      <w:pPr>
        <w:spacing w:before="100" w:beforeAutospacing="1" w:after="100" w:afterAutospacing="1"/>
      </w:pPr>
      <w:r>
        <w:t>I</w:t>
      </w:r>
      <w:r>
        <w:t>f pour-on treatments are used</w:t>
      </w:r>
      <w:r>
        <w:t>, t</w:t>
      </w:r>
      <w:r w:rsidR="00F33542">
        <w:t xml:space="preserve">o avoid cross-contamination, separate mobs for at least 72 hours after treatment. Do not run trial cattle with untreated cattle or cattle treated with other pour-on products. </w:t>
      </w:r>
    </w:p>
    <w:p w14:paraId="6ABBDDE1" w14:textId="77777777" w:rsidR="00F33542" w:rsidRPr="00CE1B45" w:rsidRDefault="00F33542" w:rsidP="00F33542">
      <w:pPr>
        <w:spacing w:before="100" w:beforeAutospacing="1" w:after="100" w:afterAutospacing="1"/>
        <w:rPr>
          <w:b/>
          <w:bCs/>
          <w:u w:val="single"/>
        </w:rPr>
      </w:pPr>
      <w:r w:rsidRPr="00CE1B45">
        <w:rPr>
          <w:b/>
          <w:bCs/>
          <w:u w:val="single"/>
        </w:rPr>
        <w:t>Day 14</w:t>
      </w:r>
    </w:p>
    <w:p w14:paraId="443BDF39" w14:textId="2540CC77" w:rsidR="00F33542" w:rsidRDefault="00F33542" w:rsidP="00F33542">
      <w:pPr>
        <w:spacing w:before="100" w:beforeAutospacing="1" w:after="100" w:afterAutospacing="1"/>
      </w:pPr>
      <w:r>
        <w:t>Using gloved hand, t</w:t>
      </w:r>
      <w:r>
        <w:t xml:space="preserve">ake 15 samples per rectum from each mob and place in </w:t>
      </w:r>
      <w:r w:rsidR="00406470">
        <w:t xml:space="preserve">labelled </w:t>
      </w:r>
      <w:r>
        <w:t xml:space="preserve">collection trays (1 tray per </w:t>
      </w:r>
      <w:r>
        <w:t>treatment group</w:t>
      </w:r>
      <w:r>
        <w:t>).</w:t>
      </w:r>
    </w:p>
    <w:p w14:paraId="47EF696B" w14:textId="77777777" w:rsidR="00F33542" w:rsidRDefault="00F33542" w:rsidP="00F33542">
      <w:pPr>
        <w:spacing w:before="100" w:beforeAutospacing="1" w:after="100" w:afterAutospacing="1"/>
      </w:pPr>
      <w:r>
        <w:t xml:space="preserve">Submit to lab using pre-paid Express Post envelopes. </w:t>
      </w:r>
    </w:p>
    <w:p w14:paraId="3B5B2A17" w14:textId="2BADCEEB" w:rsidR="00DD7C52" w:rsidRPr="00F33542" w:rsidRDefault="00F33542">
      <w:pPr>
        <w:rPr>
          <w:u w:val="single"/>
        </w:rPr>
      </w:pPr>
      <w:r w:rsidRPr="00F33542">
        <w:rPr>
          <w:u w:val="single"/>
        </w:rPr>
        <w:t>Notes</w:t>
      </w:r>
    </w:p>
    <w:p w14:paraId="73402C31" w14:textId="4859EE5E" w:rsidR="00F33542" w:rsidRDefault="00F33542" w:rsidP="00406470">
      <w:pPr>
        <w:pStyle w:val="ListParagraph"/>
        <w:numPr>
          <w:ilvl w:val="1"/>
          <w:numId w:val="1"/>
        </w:numPr>
      </w:pPr>
      <w:r>
        <w:t xml:space="preserve">Starting worm egg count </w:t>
      </w:r>
      <w:r w:rsidR="00406470">
        <w:t>(</w:t>
      </w:r>
      <w:r>
        <w:t>100epg</w:t>
      </w:r>
      <w:r w:rsidR="00406470">
        <w:t>)</w:t>
      </w:r>
      <w:r>
        <w:t xml:space="preserve"> equates to 20</w:t>
      </w:r>
      <w:r w:rsidR="00406470">
        <w:t xml:space="preserve"> </w:t>
      </w:r>
      <w:r>
        <w:t xml:space="preserve">eggs per head x 15 head = 300 eggs in Day 0 count if individual counts done by Mini-FLOTAC. Note that this sensitivity will satisfy Dobbins’ recommendation for &gt;90 eggs in control group, even at starting WEC down to 50 </w:t>
      </w:r>
      <w:proofErr w:type="spellStart"/>
      <w:r>
        <w:t>epg</w:t>
      </w:r>
      <w:proofErr w:type="spellEnd"/>
      <w:r>
        <w:t xml:space="preserve">. </w:t>
      </w:r>
      <w:r w:rsidR="00D00FB4">
        <w:t>This</w:t>
      </w:r>
      <w:r>
        <w:t xml:space="preserve"> will allow for tight confidence intervals and rigour in estimates of efficacy against each worm species detected.</w:t>
      </w:r>
    </w:p>
    <w:p w14:paraId="162B7C31" w14:textId="50E1C76C" w:rsidR="00434A8C" w:rsidRDefault="00434A8C" w:rsidP="00406470">
      <w:pPr>
        <w:pStyle w:val="ListParagraph"/>
        <w:numPr>
          <w:ilvl w:val="1"/>
          <w:numId w:val="1"/>
        </w:numPr>
      </w:pPr>
      <w:r>
        <w:t xml:space="preserve">Follow same protocol for testing a single product </w:t>
      </w:r>
      <w:r w:rsidR="00DA0214">
        <w:t>(Treatment A only).</w:t>
      </w:r>
    </w:p>
    <w:sectPr w:rsidR="00434A8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6FDC6" w14:textId="77777777" w:rsidR="00976A53" w:rsidRDefault="00976A53" w:rsidP="00F33542">
      <w:r>
        <w:separator/>
      </w:r>
    </w:p>
  </w:endnote>
  <w:endnote w:type="continuationSeparator" w:id="0">
    <w:p w14:paraId="256ADA1E" w14:textId="77777777" w:rsidR="00976A53" w:rsidRDefault="00976A53" w:rsidP="00F3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A6D94" w14:textId="0545A4D9" w:rsidR="00857E16" w:rsidRDefault="00857E16">
    <w:pPr>
      <w:pStyle w:val="Footer"/>
    </w:pPr>
    <w:r>
      <w:t xml:space="preserve">© Dawbuts Pty Ltd 2020     </w:t>
    </w:r>
    <w:r w:rsidR="00D61CE7">
      <w:tab/>
    </w:r>
    <w:r>
      <w:t xml:space="preserve">(02) 4655 6464    </w:t>
    </w:r>
    <w:r>
      <w:tab/>
      <w:t>www.dawbuts.com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F78F2" w14:textId="77777777" w:rsidR="00976A53" w:rsidRDefault="00976A53" w:rsidP="00F33542">
      <w:r>
        <w:separator/>
      </w:r>
    </w:p>
  </w:footnote>
  <w:footnote w:type="continuationSeparator" w:id="0">
    <w:p w14:paraId="484D4C08" w14:textId="77777777" w:rsidR="00976A53" w:rsidRDefault="00976A53" w:rsidP="00F33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32896" w14:textId="7193F0FF" w:rsidR="00F33542" w:rsidRDefault="00F33542">
    <w:pPr>
      <w:pStyle w:val="Header"/>
    </w:pPr>
    <w:r>
      <w:rPr>
        <w:noProof/>
      </w:rPr>
      <w:drawing>
        <wp:inline distT="0" distB="0" distL="0" distR="0" wp14:anchorId="53915DFF" wp14:editId="0B88D975">
          <wp:extent cx="1028700" cy="531405"/>
          <wp:effectExtent l="0" t="0" r="0" b="254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208" cy="53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62AFC"/>
    <w:multiLevelType w:val="multilevel"/>
    <w:tmpl w:val="7516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42"/>
    <w:rsid w:val="000B4E20"/>
    <w:rsid w:val="00406470"/>
    <w:rsid w:val="00434A8C"/>
    <w:rsid w:val="00846FF5"/>
    <w:rsid w:val="00857E16"/>
    <w:rsid w:val="00976A53"/>
    <w:rsid w:val="00CE1B45"/>
    <w:rsid w:val="00D00FB4"/>
    <w:rsid w:val="00D61CE7"/>
    <w:rsid w:val="00DA0214"/>
    <w:rsid w:val="00DD7C52"/>
    <w:rsid w:val="00F3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4BF72"/>
  <w15:chartTrackingRefBased/>
  <w15:docId w15:val="{9F9F2116-95D5-4C23-B984-4B38EA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5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5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54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335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542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3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Playford</dc:creator>
  <cp:keywords/>
  <dc:description/>
  <cp:lastModifiedBy>Matthew Playford</cp:lastModifiedBy>
  <cp:revision>9</cp:revision>
  <dcterms:created xsi:type="dcterms:W3CDTF">2020-09-09T05:33:00Z</dcterms:created>
  <dcterms:modified xsi:type="dcterms:W3CDTF">2020-09-09T05:56:00Z</dcterms:modified>
</cp:coreProperties>
</file>